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D0" w:rsidRDefault="00F757E4" w:rsidP="00C04897">
      <w:pPr>
        <w:pStyle w:val="a5"/>
      </w:pPr>
      <w:r>
        <w:t>高锰钢铸件</w:t>
      </w:r>
    </w:p>
    <w:p w:rsidR="00F1769E" w:rsidRDefault="00F1769E">
      <w:r w:rsidRPr="00B150EE">
        <w:rPr>
          <w:rFonts w:hint="eastAsia"/>
          <w:color w:val="FF0000"/>
        </w:rPr>
        <w:t>常用别名</w:t>
      </w:r>
      <w:r>
        <w:rPr>
          <w:rFonts w:hint="eastAsia"/>
        </w:rPr>
        <w:t>：</w:t>
      </w:r>
      <w:r w:rsidR="00F757E4">
        <w:rPr>
          <w:rFonts w:hint="eastAsia"/>
        </w:rPr>
        <w:t>锰钢铸件，高锰钢铸件，超高锰钢铸件</w:t>
      </w:r>
      <w:r w:rsidR="00415228">
        <w:rPr>
          <w:rFonts w:hint="eastAsia"/>
        </w:rPr>
        <w:t>，锰铬合金铸件</w:t>
      </w:r>
    </w:p>
    <w:p w:rsidR="00F1769E" w:rsidRDefault="00F1769E">
      <w:r w:rsidRPr="00B150EE">
        <w:rPr>
          <w:rFonts w:hint="eastAsia"/>
          <w:color w:val="FF0000"/>
        </w:rPr>
        <w:t>主要材质</w:t>
      </w:r>
      <w:r>
        <w:rPr>
          <w:rFonts w:hint="eastAsia"/>
        </w:rPr>
        <w:t>：</w:t>
      </w:r>
      <w:r w:rsidR="00593827">
        <w:rPr>
          <w:rFonts w:hint="eastAsia"/>
        </w:rPr>
        <w:t>锰钢（</w:t>
      </w:r>
      <w:r w:rsidR="00593827">
        <w:rPr>
          <w:rFonts w:hint="eastAsia"/>
        </w:rPr>
        <w:t>16Mn</w:t>
      </w:r>
      <w:r w:rsidR="00593827">
        <w:rPr>
          <w:rFonts w:hint="eastAsia"/>
        </w:rPr>
        <w:t>，</w:t>
      </w:r>
      <w:r w:rsidR="00E202A3">
        <w:rPr>
          <w:rFonts w:hint="eastAsia"/>
        </w:rPr>
        <w:t>65</w:t>
      </w:r>
      <w:r w:rsidR="00593827">
        <w:rPr>
          <w:rFonts w:hint="eastAsia"/>
        </w:rPr>
        <w:t>Mn</w:t>
      </w:r>
      <w:r w:rsidR="00593827">
        <w:rPr>
          <w:rFonts w:hint="eastAsia"/>
        </w:rPr>
        <w:t>等），</w:t>
      </w:r>
      <w:r w:rsidR="005D6C6C">
        <w:rPr>
          <w:rFonts w:hint="eastAsia"/>
        </w:rPr>
        <w:t>高锰钢</w:t>
      </w:r>
      <w:r w:rsidR="00182890">
        <w:rPr>
          <w:rFonts w:hint="eastAsia"/>
        </w:rPr>
        <w:t>（</w:t>
      </w:r>
      <w:r w:rsidR="00182890">
        <w:rPr>
          <w:rFonts w:hint="eastAsia"/>
        </w:rPr>
        <w:t>Mn13</w:t>
      </w:r>
      <w:r w:rsidR="00182890">
        <w:rPr>
          <w:rFonts w:hint="eastAsia"/>
        </w:rPr>
        <w:t>，</w:t>
      </w:r>
      <w:r w:rsidR="00182890">
        <w:rPr>
          <w:rFonts w:hint="eastAsia"/>
        </w:rPr>
        <w:t>Mn18</w:t>
      </w:r>
      <w:r w:rsidR="00182890">
        <w:rPr>
          <w:rFonts w:hint="eastAsia"/>
        </w:rPr>
        <w:t>等）</w:t>
      </w:r>
      <w:r w:rsidR="00EE65DC">
        <w:rPr>
          <w:rFonts w:hint="eastAsia"/>
        </w:rPr>
        <w:t>，</w:t>
      </w:r>
      <w:r w:rsidR="001D6D11">
        <w:rPr>
          <w:rFonts w:hint="eastAsia"/>
        </w:rPr>
        <w:t>锰铬合金</w:t>
      </w:r>
      <w:r w:rsidR="005D6C6C">
        <w:rPr>
          <w:rFonts w:hint="eastAsia"/>
        </w:rPr>
        <w:t>（</w:t>
      </w:r>
      <w:r w:rsidR="005D6C6C">
        <w:rPr>
          <w:rFonts w:hint="eastAsia"/>
        </w:rPr>
        <w:t>Mn13Cr2</w:t>
      </w:r>
      <w:r w:rsidR="00182890">
        <w:rPr>
          <w:rFonts w:hint="eastAsia"/>
        </w:rPr>
        <w:t>，</w:t>
      </w:r>
      <w:r w:rsidR="00182890">
        <w:rPr>
          <w:rFonts w:hint="eastAsia"/>
        </w:rPr>
        <w:t>Mn18Cr2</w:t>
      </w:r>
      <w:r w:rsidR="007A6E12">
        <w:rPr>
          <w:rFonts w:hint="eastAsia"/>
        </w:rPr>
        <w:t>等</w:t>
      </w:r>
      <w:r w:rsidR="005D6C6C">
        <w:rPr>
          <w:rFonts w:hint="eastAsia"/>
        </w:rPr>
        <w:t>）</w:t>
      </w:r>
    </w:p>
    <w:p w:rsidR="00ED74A5" w:rsidRDefault="00ED74A5">
      <w:r w:rsidRPr="00B150EE">
        <w:rPr>
          <w:rFonts w:hint="eastAsia"/>
          <w:color w:val="FF0000"/>
        </w:rPr>
        <w:t>铸造工艺</w:t>
      </w:r>
      <w:r>
        <w:rPr>
          <w:rFonts w:hint="eastAsia"/>
        </w:rPr>
        <w:t>：</w:t>
      </w:r>
      <w:r w:rsidR="00EE65DC">
        <w:rPr>
          <w:rFonts w:hint="eastAsia"/>
        </w:rPr>
        <w:t>V</w:t>
      </w:r>
      <w:r w:rsidR="00EE65DC">
        <w:rPr>
          <w:rFonts w:hint="eastAsia"/>
        </w:rPr>
        <w:t>法，消失模，水玻璃砂型铸造</w:t>
      </w:r>
    </w:p>
    <w:p w:rsidR="00F1769E" w:rsidRDefault="00F1769E">
      <w:r w:rsidRPr="00B150EE">
        <w:rPr>
          <w:rFonts w:hint="eastAsia"/>
          <w:color w:val="FF0000"/>
        </w:rPr>
        <w:t>适用物料</w:t>
      </w:r>
      <w:r>
        <w:rPr>
          <w:rFonts w:hint="eastAsia"/>
        </w:rPr>
        <w:t>：</w:t>
      </w:r>
      <w:r w:rsidR="00CE54C3" w:rsidRPr="00CE54C3">
        <w:rPr>
          <w:rFonts w:hint="eastAsia"/>
        </w:rPr>
        <w:t>石英石、金矿石、铁矿石、水泥熟料、铜矿石、磁黄铁矿、建筑垃圾、水泥熟料、玻璃等。</w:t>
      </w:r>
    </w:p>
    <w:p w:rsidR="00893420" w:rsidRDefault="008325C2">
      <w:r w:rsidRPr="00B150EE">
        <w:rPr>
          <w:rFonts w:hint="eastAsia"/>
          <w:color w:val="FF0000"/>
        </w:rPr>
        <w:t>应用范围</w:t>
      </w:r>
      <w:r w:rsidRPr="008325C2">
        <w:rPr>
          <w:rFonts w:hint="eastAsia"/>
        </w:rPr>
        <w:t>：</w:t>
      </w:r>
      <w:r w:rsidR="00CE54C3" w:rsidRPr="00CE54C3">
        <w:rPr>
          <w:rFonts w:hint="eastAsia"/>
        </w:rPr>
        <w:t>水泥，硅酸盐制品，新型建筑材料、耐火材料、化肥、黑色与有色金属选矿以及玻璃陶瓷等生产行业。</w:t>
      </w:r>
    </w:p>
    <w:p w:rsidR="00177D3E" w:rsidRDefault="00177D3E"/>
    <w:p w:rsidR="00177D3E" w:rsidRDefault="00177D3E">
      <w:r w:rsidRPr="00F5235D">
        <w:rPr>
          <w:rFonts w:hint="eastAsia"/>
          <w:b/>
        </w:rPr>
        <w:t>产品介绍</w:t>
      </w:r>
      <w:r>
        <w:rPr>
          <w:rFonts w:hint="eastAsia"/>
        </w:rPr>
        <w:t>：</w:t>
      </w:r>
    </w:p>
    <w:p w:rsidR="00B66BBD" w:rsidRDefault="007649E8" w:rsidP="00D302EE">
      <w:pPr>
        <w:ind w:firstLine="420"/>
      </w:pPr>
      <w:r w:rsidRPr="007649E8">
        <w:rPr>
          <w:rFonts w:hint="eastAsia"/>
        </w:rPr>
        <w:t>高锰钢</w:t>
      </w:r>
      <w:r w:rsidRPr="007649E8">
        <w:rPr>
          <w:rFonts w:hint="eastAsia"/>
        </w:rPr>
        <w:t>(high manganese steel)</w:t>
      </w:r>
      <w:r w:rsidRPr="007649E8">
        <w:rPr>
          <w:rFonts w:hint="eastAsia"/>
        </w:rPr>
        <w:t>是指含锰量在</w:t>
      </w:r>
      <w:r w:rsidRPr="007649E8">
        <w:rPr>
          <w:rFonts w:hint="eastAsia"/>
        </w:rPr>
        <w:t>10%</w:t>
      </w:r>
      <w:r w:rsidRPr="007649E8">
        <w:rPr>
          <w:rFonts w:hint="eastAsia"/>
        </w:rPr>
        <w:t>以上的合金钢。这类钢含锰</w:t>
      </w:r>
      <w:r w:rsidRPr="007649E8">
        <w:rPr>
          <w:rFonts w:hint="eastAsia"/>
        </w:rPr>
        <w:t>10%</w:t>
      </w:r>
      <w:r w:rsidRPr="007649E8">
        <w:rPr>
          <w:rFonts w:hint="eastAsia"/>
        </w:rPr>
        <w:t>～</w:t>
      </w:r>
      <w:r w:rsidRPr="007649E8">
        <w:rPr>
          <w:rFonts w:hint="eastAsia"/>
        </w:rPr>
        <w:t>15%</w:t>
      </w:r>
      <w:r w:rsidRPr="007649E8">
        <w:rPr>
          <w:rFonts w:hint="eastAsia"/>
        </w:rPr>
        <w:t>，碳含量较高，一般为</w:t>
      </w:r>
      <w:r w:rsidRPr="007649E8">
        <w:rPr>
          <w:rFonts w:hint="eastAsia"/>
        </w:rPr>
        <w:t>0.90%</w:t>
      </w:r>
      <w:r w:rsidRPr="007649E8">
        <w:rPr>
          <w:rFonts w:hint="eastAsia"/>
        </w:rPr>
        <w:t>～</w:t>
      </w:r>
      <w:r w:rsidRPr="007649E8">
        <w:rPr>
          <w:rFonts w:hint="eastAsia"/>
        </w:rPr>
        <w:t>1.50%</w:t>
      </w:r>
      <w:r w:rsidRPr="007649E8">
        <w:rPr>
          <w:rFonts w:hint="eastAsia"/>
        </w:rPr>
        <w:t>，这类高锰钢的用量最多，</w:t>
      </w:r>
      <w:r w:rsidR="00B66BBD" w:rsidRPr="00B66BBD">
        <w:rPr>
          <w:rFonts w:hint="eastAsia"/>
        </w:rPr>
        <w:t>耐磨高锰钢特别适用于冲击磨料磨损和高应力碾碎磨料磨损工况，常用于制造球磨机衬板，锤式破碎机锤头，颚式破碎机颚板，圆锥破碎机轧臼壁、破碎壁，挖掘机斗齿、斗壁，铁道道岔，拖拉机和坦克的履带板等抗冲击、抗磨损的铸件。</w:t>
      </w:r>
    </w:p>
    <w:p w:rsidR="00426485" w:rsidRDefault="00F70D91" w:rsidP="00D302EE">
      <w:pPr>
        <w:ind w:firstLine="420"/>
      </w:pPr>
      <w:r>
        <w:t>高锰钢颚板</w:t>
      </w:r>
    </w:p>
    <w:p w:rsidR="00F70D91" w:rsidRDefault="00F70D91" w:rsidP="00D302EE">
      <w:pPr>
        <w:ind w:firstLine="420"/>
      </w:pPr>
      <w:r w:rsidRPr="00F70D91">
        <w:rPr>
          <w:rFonts w:hint="eastAsia"/>
        </w:rPr>
        <w:t>鄂板</w:t>
      </w:r>
      <w:r w:rsidRPr="00F70D91">
        <w:rPr>
          <w:rFonts w:hint="eastAsia"/>
        </w:rPr>
        <w:t>(</w:t>
      </w:r>
      <w:r w:rsidRPr="00F70D91">
        <w:rPr>
          <w:rFonts w:hint="eastAsia"/>
        </w:rPr>
        <w:t>又称牙板</w:t>
      </w:r>
      <w:r w:rsidRPr="00F70D91">
        <w:rPr>
          <w:rFonts w:hint="eastAsia"/>
        </w:rPr>
        <w:t>)</w:t>
      </w:r>
      <w:r w:rsidRPr="00F70D91">
        <w:rPr>
          <w:rFonts w:hint="eastAsia"/>
        </w:rPr>
        <w:t>是鄂式破碎机的主要易损部件</w:t>
      </w:r>
      <w:r>
        <w:rPr>
          <w:rFonts w:hint="eastAsia"/>
        </w:rPr>
        <w:t>，</w:t>
      </w:r>
      <w:r w:rsidRPr="00F70D91">
        <w:rPr>
          <w:rFonts w:hint="eastAsia"/>
        </w:rPr>
        <w:t>根据鄂式破碎机型号的不同可分为多种类型；采用材质：</w:t>
      </w:r>
      <w:r w:rsidRPr="00F70D91">
        <w:rPr>
          <w:rFonts w:hint="eastAsia"/>
        </w:rPr>
        <w:t>Mn13</w:t>
      </w:r>
      <w:r w:rsidRPr="00F70D91">
        <w:rPr>
          <w:rFonts w:hint="eastAsia"/>
        </w:rPr>
        <w:t>，</w:t>
      </w:r>
      <w:r w:rsidRPr="00F70D91">
        <w:rPr>
          <w:rFonts w:hint="eastAsia"/>
        </w:rPr>
        <w:t xml:space="preserve"> Mn13Cr2 </w:t>
      </w:r>
      <w:r w:rsidRPr="00F70D91">
        <w:rPr>
          <w:rFonts w:hint="eastAsia"/>
        </w:rPr>
        <w:t>，</w:t>
      </w:r>
      <w:r w:rsidRPr="00F70D91">
        <w:rPr>
          <w:rFonts w:hint="eastAsia"/>
        </w:rPr>
        <w:t>Mn18Cr2</w:t>
      </w:r>
      <w:r w:rsidRPr="00F70D91">
        <w:rPr>
          <w:rFonts w:hint="eastAsia"/>
        </w:rPr>
        <w:t>（即超高锰）或者根据工况条件特殊配料，</w:t>
      </w:r>
      <w:r>
        <w:rPr>
          <w:rFonts w:hint="eastAsia"/>
        </w:rPr>
        <w:t>湖北金阳石</w:t>
      </w:r>
      <w:r w:rsidRPr="00F70D91">
        <w:rPr>
          <w:rFonts w:hint="eastAsia"/>
        </w:rPr>
        <w:t>颚式破碎机鄂板做工细腻，配料严谨，热处理到位，鄂板使用寿命比同类产品耐磨</w:t>
      </w:r>
      <w:r w:rsidRPr="00F70D91">
        <w:rPr>
          <w:rFonts w:hint="eastAsia"/>
        </w:rPr>
        <w:t>50%</w:t>
      </w:r>
      <w:r>
        <w:rPr>
          <w:rFonts w:hint="eastAsia"/>
        </w:rPr>
        <w:t>以上</w:t>
      </w:r>
      <w:r w:rsidRPr="00F70D91">
        <w:rPr>
          <w:rFonts w:hint="eastAsia"/>
        </w:rPr>
        <w:t>。</w:t>
      </w:r>
    </w:p>
    <w:p w:rsidR="00F70D91" w:rsidRDefault="004D2828" w:rsidP="00D302EE">
      <w:pPr>
        <w:ind w:firstLine="420"/>
      </w:pPr>
      <w:r>
        <w:rPr>
          <w:rFonts w:hint="eastAsia"/>
        </w:rPr>
        <w:t>高锰钢破碎壁轧臼壁</w:t>
      </w:r>
    </w:p>
    <w:p w:rsidR="004D2828" w:rsidRDefault="003029CE" w:rsidP="00D302EE">
      <w:pPr>
        <w:ind w:firstLine="420"/>
      </w:pPr>
      <w:r w:rsidRPr="003029CE">
        <w:rPr>
          <w:rFonts w:hint="eastAsia"/>
        </w:rPr>
        <w:t>根据轧臼壁工件在实际工况条件下的受力状态，服役特点</w:t>
      </w:r>
      <w:r w:rsidRPr="003029CE">
        <w:rPr>
          <w:rFonts w:hint="eastAsia"/>
        </w:rPr>
        <w:t>(</w:t>
      </w:r>
      <w:r w:rsidRPr="003029CE">
        <w:rPr>
          <w:rFonts w:hint="eastAsia"/>
        </w:rPr>
        <w:t>高周次的强烈冲击、磨擦、挤压、剪切的反复</w:t>
      </w:r>
      <w:r w:rsidRPr="003029CE">
        <w:rPr>
          <w:rFonts w:hint="eastAsia"/>
        </w:rPr>
        <w:t>)</w:t>
      </w:r>
      <w:r w:rsidRPr="003029CE">
        <w:rPr>
          <w:rFonts w:hint="eastAsia"/>
        </w:rPr>
        <w:t>，结合国内目前使用耐磨材料现状，经一系列对比分析、反复试验湖北金阳石选择了在强烈冲击、磨擦、挤压，剪切工况条件下具有强大潜能</w:t>
      </w:r>
      <w:r w:rsidRPr="003029CE">
        <w:rPr>
          <w:rFonts w:hint="eastAsia"/>
        </w:rPr>
        <w:t>(</w:t>
      </w:r>
      <w:r w:rsidRPr="003029CE">
        <w:rPr>
          <w:rFonts w:hint="eastAsia"/>
        </w:rPr>
        <w:t>加工硬化能力</w:t>
      </w:r>
      <w:r w:rsidRPr="003029CE">
        <w:rPr>
          <w:rFonts w:hint="eastAsia"/>
        </w:rPr>
        <w:t>)</w:t>
      </w:r>
      <w:r w:rsidRPr="003029CE">
        <w:rPr>
          <w:rFonts w:hint="eastAsia"/>
        </w:rPr>
        <w:t>的高锰钢作为制作轧臼壁工件的材质，表面光洁，无粘砂、夹砂、气孔、缩孔等铸造缺陷，使用寿命超过外购同类产品。</w:t>
      </w:r>
    </w:p>
    <w:p w:rsidR="003029CE" w:rsidRDefault="003029CE" w:rsidP="00D302EE">
      <w:pPr>
        <w:ind w:firstLine="420"/>
      </w:pPr>
      <w:r>
        <w:rPr>
          <w:rFonts w:hint="eastAsia"/>
        </w:rPr>
        <w:t>高锰钢锤头</w:t>
      </w:r>
    </w:p>
    <w:p w:rsidR="003029CE" w:rsidRDefault="003029CE" w:rsidP="00D302EE">
      <w:pPr>
        <w:ind w:firstLine="420"/>
      </w:pPr>
      <w:r w:rsidRPr="003029CE">
        <w:rPr>
          <w:rFonts w:hint="eastAsia"/>
        </w:rPr>
        <w:t>高锰钢锤头是奥氏体结构，在强烈﹑足够大的冲击、挤压条件下，迅速产生</w:t>
      </w:r>
      <w:r w:rsidRPr="003029CE">
        <w:rPr>
          <w:rFonts w:hint="eastAsia"/>
        </w:rPr>
        <w:t>10</w:t>
      </w:r>
      <w:r w:rsidRPr="003029CE">
        <w:rPr>
          <w:rFonts w:hint="eastAsia"/>
        </w:rPr>
        <w:t>～</w:t>
      </w:r>
      <w:r w:rsidRPr="003029CE">
        <w:rPr>
          <w:rFonts w:hint="eastAsia"/>
        </w:rPr>
        <w:t>20mm</w:t>
      </w:r>
      <w:r w:rsidRPr="003029CE">
        <w:rPr>
          <w:rFonts w:hint="eastAsia"/>
        </w:rPr>
        <w:t>的硬化层（马氏体结构），高硬度的硬化层可以抗冲击抗磨损</w:t>
      </w:r>
      <w:r w:rsidRPr="003029CE">
        <w:rPr>
          <w:rFonts w:hint="eastAsia"/>
        </w:rPr>
        <w:t>,</w:t>
      </w:r>
      <w:r w:rsidRPr="003029CE">
        <w:rPr>
          <w:rFonts w:hint="eastAsia"/>
        </w:rPr>
        <w:t>当硬化层被磨掉后，有露出新的奥氏体被硬化，而其未被硬化的部分仍保持奥氏体良好的韧性，适用于破碎鹅卵石、煤矸石、石灰石等物料破碎，成为众多水泥、砂石企业的锤头首选。</w:t>
      </w:r>
    </w:p>
    <w:p w:rsidR="00E14652" w:rsidRDefault="00E14652" w:rsidP="00D302EE">
      <w:pPr>
        <w:ind w:firstLine="420"/>
      </w:pPr>
      <w:r>
        <w:rPr>
          <w:rFonts w:hint="eastAsia"/>
        </w:rPr>
        <w:t>高锰钢衬板</w:t>
      </w:r>
    </w:p>
    <w:p w:rsidR="00E14652" w:rsidRDefault="009526B2" w:rsidP="00D302EE">
      <w:pPr>
        <w:ind w:firstLine="420"/>
      </w:pPr>
      <w:r>
        <w:rPr>
          <w:rFonts w:hint="eastAsia"/>
        </w:rPr>
        <w:t>公司</w:t>
      </w:r>
      <w:r w:rsidR="008D038E">
        <w:rPr>
          <w:rFonts w:hint="eastAsia"/>
        </w:rPr>
        <w:t>石</w:t>
      </w:r>
      <w:r w:rsidR="008D038E" w:rsidRPr="008D038E">
        <w:rPr>
          <w:rFonts w:hint="eastAsia"/>
        </w:rPr>
        <w:t>采用最新专利技术，在原锰</w:t>
      </w:r>
      <w:r w:rsidR="008D038E" w:rsidRPr="008D038E">
        <w:rPr>
          <w:rFonts w:hint="eastAsia"/>
        </w:rPr>
        <w:t>13</w:t>
      </w:r>
      <w:r w:rsidR="008D038E" w:rsidRPr="008D038E">
        <w:rPr>
          <w:rFonts w:hint="eastAsia"/>
        </w:rPr>
        <w:t>材质的基础上</w:t>
      </w:r>
      <w:r w:rsidR="002016FA">
        <w:rPr>
          <w:rFonts w:hint="eastAsia"/>
        </w:rPr>
        <w:t>加入了铬、钒、硼、钼等稀有贵重金属及特殊变质技术，用新型材料生产的高锰钢合金衬板</w:t>
      </w:r>
      <w:r w:rsidR="008D038E" w:rsidRPr="008D038E">
        <w:rPr>
          <w:rFonts w:hint="eastAsia"/>
        </w:rPr>
        <w:t>，显著的提高了产品质量。比普通锰</w:t>
      </w:r>
      <w:r w:rsidR="008D038E" w:rsidRPr="008D038E">
        <w:rPr>
          <w:rFonts w:hint="eastAsia"/>
        </w:rPr>
        <w:t>13</w:t>
      </w:r>
      <w:r w:rsidR="008D038E" w:rsidRPr="008D038E">
        <w:rPr>
          <w:rFonts w:hint="eastAsia"/>
        </w:rPr>
        <w:t>产品使用期限提高了一倍以上，最大程度降低了用户的生产成本。</w:t>
      </w:r>
    </w:p>
    <w:p w:rsidR="00840232" w:rsidRDefault="005D3C6A" w:rsidP="00D302EE">
      <w:pPr>
        <w:ind w:firstLine="420"/>
      </w:pPr>
      <w:r w:rsidRPr="005D3C6A">
        <w:rPr>
          <w:rFonts w:hint="eastAsia"/>
        </w:rPr>
        <w:t>湖北金阳石新型耐磨材料科技有限公司</w:t>
      </w:r>
      <w:r w:rsidR="00840232" w:rsidRPr="00840232">
        <w:rPr>
          <w:rFonts w:hint="eastAsia"/>
        </w:rPr>
        <w:t>为提高高锰钢的性能进行过很多合金化、微合金化、碳锰含量调整和沉淀强化处理等方面的研究，并在生产实践中得到</w:t>
      </w:r>
      <w:r w:rsidR="00516733">
        <w:rPr>
          <w:rFonts w:hint="eastAsia"/>
        </w:rPr>
        <w:t>广泛</w:t>
      </w:r>
      <w:r w:rsidR="00840232" w:rsidRPr="00840232">
        <w:rPr>
          <w:rFonts w:hint="eastAsia"/>
        </w:rPr>
        <w:t>应用。</w:t>
      </w:r>
    </w:p>
    <w:p w:rsidR="00426485" w:rsidRDefault="00426485" w:rsidP="00D302EE">
      <w:pPr>
        <w:ind w:firstLine="420"/>
      </w:pPr>
    </w:p>
    <w:p w:rsidR="00426485" w:rsidRDefault="00426485" w:rsidP="00D302EE">
      <w:pPr>
        <w:ind w:firstLine="420"/>
      </w:pPr>
    </w:p>
    <w:p w:rsidR="00426485" w:rsidRDefault="00426485" w:rsidP="00D302EE">
      <w:pPr>
        <w:ind w:firstLine="420"/>
      </w:pPr>
    </w:p>
    <w:p w:rsidR="00426485" w:rsidRPr="00D302EE" w:rsidRDefault="00426485" w:rsidP="00D302EE">
      <w:pPr>
        <w:ind w:firstLine="420"/>
      </w:pPr>
    </w:p>
    <w:p w:rsidR="00177D3E" w:rsidRDefault="00A968EA"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72390</wp:posOffset>
            </wp:positionV>
            <wp:extent cx="657225" cy="676275"/>
            <wp:effectExtent l="1905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D3E" w:rsidRPr="00F5235D">
        <w:rPr>
          <w:rFonts w:hint="eastAsia"/>
          <w:b/>
        </w:rPr>
        <w:t>性能特点</w:t>
      </w:r>
      <w:r w:rsidR="00177D3E">
        <w:rPr>
          <w:rFonts w:hint="eastAsia"/>
        </w:rPr>
        <w:t>：</w:t>
      </w:r>
    </w:p>
    <w:p w:rsidR="00D52C25" w:rsidRDefault="00D52C25" w:rsidP="00D52C25">
      <w:pPr>
        <w:sectPr w:rsidR="00D52C25" w:rsidSect="0034108E">
          <w:headerReference w:type="default" r:id="rId7"/>
          <w:pgSz w:w="16838" w:h="11906" w:orient="landscape"/>
          <w:pgMar w:top="720" w:right="720" w:bottom="720" w:left="720" w:header="283" w:footer="992" w:gutter="0"/>
          <w:cols w:space="425"/>
          <w:docGrid w:type="lines" w:linePitch="312"/>
        </w:sectPr>
      </w:pPr>
    </w:p>
    <w:p w:rsidR="006D70B7" w:rsidRDefault="006D70B7" w:rsidP="00D52C25"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723900" cy="61912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质量更好</w:t>
      </w:r>
    </w:p>
    <w:p w:rsidR="00D52C25" w:rsidRDefault="00BB1627" w:rsidP="00D52C25">
      <w:r w:rsidRPr="007644D3">
        <w:rPr>
          <w:rFonts w:hint="eastAsia"/>
        </w:rPr>
        <w:t>在</w:t>
      </w:r>
      <w:r>
        <w:rPr>
          <w:rFonts w:hint="eastAsia"/>
        </w:rPr>
        <w:t>高能量冲击的工作条件下，高锰钢与超高锰钢铸件</w:t>
      </w:r>
      <w:r w:rsidRPr="0072093E">
        <w:rPr>
          <w:rFonts w:hint="eastAsia"/>
        </w:rPr>
        <w:t>有优异的抗磨性能，</w:t>
      </w:r>
    </w:p>
    <w:p w:rsidR="006D70B7" w:rsidRDefault="00961A2F" w:rsidP="00D52C2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74295</wp:posOffset>
            </wp:positionV>
            <wp:extent cx="781050" cy="666750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FB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93345</wp:posOffset>
            </wp:positionV>
            <wp:extent cx="752475" cy="647700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C25" w:rsidRDefault="00D52C25" w:rsidP="00D52C25">
      <w:r>
        <w:rPr>
          <w:rFonts w:hint="eastAsia"/>
        </w:rPr>
        <w:t>寿命更长</w:t>
      </w:r>
    </w:p>
    <w:p w:rsidR="000B1090" w:rsidRDefault="00681031" w:rsidP="00D52C25">
      <w:r w:rsidRPr="00681031">
        <w:rPr>
          <w:rFonts w:hint="eastAsia"/>
        </w:rPr>
        <w:t>典型的</w:t>
      </w:r>
      <w:r w:rsidRPr="00681031">
        <w:rPr>
          <w:rFonts w:hint="eastAsia"/>
        </w:rPr>
        <w:t>Mn17</w:t>
      </w:r>
      <w:r w:rsidRPr="00681031">
        <w:rPr>
          <w:rFonts w:hint="eastAsia"/>
        </w:rPr>
        <w:t>是在</w:t>
      </w:r>
      <w:r w:rsidRPr="00681031">
        <w:rPr>
          <w:rFonts w:hint="eastAsia"/>
        </w:rPr>
        <w:t>Mn13</w:t>
      </w:r>
      <w:r w:rsidRPr="00681031">
        <w:rPr>
          <w:rFonts w:hint="eastAsia"/>
        </w:rPr>
        <w:t>的基础上增加锰量，提高加工硬化和耐磨性。比如</w:t>
      </w:r>
      <w:r w:rsidRPr="00681031">
        <w:rPr>
          <w:rFonts w:hint="eastAsia"/>
        </w:rPr>
        <w:t>ZGMn18</w:t>
      </w:r>
      <w:r w:rsidRPr="00681031">
        <w:rPr>
          <w:rFonts w:hint="eastAsia"/>
        </w:rPr>
        <w:t>铁道叉寿命较</w:t>
      </w:r>
      <w:r w:rsidRPr="00681031">
        <w:rPr>
          <w:rFonts w:hint="eastAsia"/>
        </w:rPr>
        <w:t>ZGMn13</w:t>
      </w:r>
      <w:r w:rsidRPr="00681031">
        <w:rPr>
          <w:rFonts w:hint="eastAsia"/>
        </w:rPr>
        <w:t>提高</w:t>
      </w:r>
      <w:r w:rsidRPr="00681031">
        <w:rPr>
          <w:rFonts w:hint="eastAsia"/>
        </w:rPr>
        <w:t>20%~25%</w:t>
      </w:r>
      <w:r w:rsidRPr="00681031">
        <w:rPr>
          <w:rFonts w:hint="eastAsia"/>
        </w:rPr>
        <w:t>。</w:t>
      </w:r>
    </w:p>
    <w:p w:rsidR="00A968EA" w:rsidRDefault="00D52C25" w:rsidP="00D52C25">
      <w:r>
        <w:rPr>
          <w:rFonts w:hint="eastAsia"/>
        </w:rPr>
        <w:lastRenderedPageBreak/>
        <w:t>性价比高</w:t>
      </w:r>
    </w:p>
    <w:p w:rsidR="00D52C25" w:rsidRDefault="000E29F0" w:rsidP="00D52C25">
      <w:r w:rsidRPr="00C9323D">
        <w:rPr>
          <w:rFonts w:hint="eastAsia"/>
        </w:rPr>
        <w:t>在强烈的冲击、挤压条件下，表层迅速发生加工硬化现象，使其在保持良好的韧性和塑性的同时具有良好的耐磨性能。这是其它材料所不及的。</w:t>
      </w:r>
    </w:p>
    <w:p w:rsidR="00961A2F" w:rsidRDefault="00961A2F" w:rsidP="00D52C25"/>
    <w:p w:rsidR="00D52C25" w:rsidRDefault="00D52C25" w:rsidP="00D52C25">
      <w:r>
        <w:rPr>
          <w:rFonts w:hint="eastAsia"/>
        </w:rPr>
        <w:t>应用广泛</w:t>
      </w:r>
    </w:p>
    <w:p w:rsidR="00CE37AA" w:rsidRDefault="00BB1627" w:rsidP="00D52C25">
      <w:r w:rsidRPr="0072093E">
        <w:rPr>
          <w:rFonts w:hint="eastAsia"/>
        </w:rPr>
        <w:t>用于矿山、建材、火电等机械设备中，制作耐磨件</w:t>
      </w:r>
      <w:r w:rsidR="00A4754A" w:rsidRPr="00A4754A">
        <w:rPr>
          <w:rFonts w:hint="eastAsia"/>
        </w:rPr>
        <w:t>。</w:t>
      </w:r>
    </w:p>
    <w:p w:rsidR="00D52C25" w:rsidRDefault="00D52C25">
      <w:pPr>
        <w:sectPr w:rsidR="00D52C25" w:rsidSect="00D52C25">
          <w:type w:val="continuous"/>
          <w:pgSz w:w="16838" w:h="11906" w:orient="landscape"/>
          <w:pgMar w:top="720" w:right="720" w:bottom="720" w:left="720" w:header="283" w:footer="992" w:gutter="0"/>
          <w:cols w:num="2" w:space="425"/>
          <w:docGrid w:type="lines" w:linePitch="312"/>
        </w:sectPr>
      </w:pPr>
    </w:p>
    <w:p w:rsidR="000B1090" w:rsidRDefault="000B1090">
      <w:pPr>
        <w:rPr>
          <w:b/>
        </w:rPr>
      </w:pPr>
    </w:p>
    <w:p w:rsidR="00571031" w:rsidRDefault="00571031">
      <w:pPr>
        <w:rPr>
          <w:b/>
        </w:rPr>
      </w:pPr>
    </w:p>
    <w:p w:rsidR="00177D3E" w:rsidRDefault="00177D3E">
      <w:r w:rsidRPr="00F5235D">
        <w:rPr>
          <w:rFonts w:hint="eastAsia"/>
          <w:b/>
        </w:rPr>
        <w:t>技术参数</w:t>
      </w:r>
      <w:r>
        <w:rPr>
          <w:rFonts w:hint="eastAsia"/>
        </w:rPr>
        <w:t>：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66"/>
        <w:gridCol w:w="2339"/>
        <w:gridCol w:w="2339"/>
        <w:gridCol w:w="2651"/>
        <w:gridCol w:w="1558"/>
        <w:gridCol w:w="1870"/>
        <w:gridCol w:w="2805"/>
      </w:tblGrid>
      <w:tr w:rsidR="006741B2" w:rsidRPr="00D12A37" w:rsidTr="006741B2">
        <w:trPr>
          <w:tblCellSpacing w:w="0" w:type="dxa"/>
          <w:jc w:val="center"/>
        </w:trPr>
        <w:tc>
          <w:tcPr>
            <w:tcW w:w="6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牌号</w:t>
            </w:r>
          </w:p>
        </w:tc>
        <w:tc>
          <w:tcPr>
            <w:tcW w:w="439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CF6806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8"/>
                <w:szCs w:val="28"/>
              </w:rPr>
            </w:pPr>
            <w:r w:rsidRPr="00CF6806">
              <w:rPr>
                <w:rFonts w:ascii="ˎ̥" w:hAnsi="ˎ̥" w:cs="宋体"/>
                <w:color w:val="000000"/>
                <w:kern w:val="0"/>
                <w:sz w:val="28"/>
                <w:szCs w:val="28"/>
              </w:rPr>
              <w:t>化学成分</w:t>
            </w:r>
            <w:r w:rsidRPr="00CF6806">
              <w:rPr>
                <w:rFonts w:ascii="ˎ̥" w:hAnsi="ˎ̥" w:cs="宋体"/>
                <w:color w:val="000000"/>
                <w:kern w:val="0"/>
                <w:sz w:val="28"/>
                <w:szCs w:val="28"/>
              </w:rPr>
              <w:t>(</w:t>
            </w:r>
            <w:r w:rsidRPr="00CF6806">
              <w:rPr>
                <w:rFonts w:ascii="ˎ̥" w:hAnsi="ˎ̥" w:cs="宋体"/>
                <w:color w:val="000000"/>
                <w:kern w:val="0"/>
                <w:sz w:val="28"/>
                <w:szCs w:val="28"/>
              </w:rPr>
              <w:t>质量分数</w:t>
            </w:r>
            <w:r w:rsidRPr="00CF6806">
              <w:rPr>
                <w:rFonts w:ascii="ˎ̥" w:hAnsi="ˎ̥" w:cs="宋体"/>
                <w:color w:val="000000"/>
                <w:kern w:val="0"/>
                <w:sz w:val="28"/>
                <w:szCs w:val="28"/>
              </w:rPr>
              <w:t>)(</w:t>
            </w:r>
            <w:r w:rsidRPr="00CF6806">
              <w:rPr>
                <w:rFonts w:ascii="ˎ̥" w:hAnsi="ˎ̥" w:cs="宋体"/>
                <w:color w:val="000000"/>
                <w:kern w:val="0"/>
                <w:sz w:val="28"/>
                <w:szCs w:val="28"/>
              </w:rPr>
              <w:t>％</w:t>
            </w:r>
            <w:r w:rsidRPr="00CF6806">
              <w:rPr>
                <w:rFonts w:ascii="ˎ̥" w:hAnsi="ˎ̥" w:cs="宋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6741B2" w:rsidRPr="00D12A37" w:rsidTr="006741B2">
        <w:trPr>
          <w:trHeight w:val="404"/>
          <w:tblCellSpacing w:w="0" w:type="dxa"/>
          <w:jc w:val="center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C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Mn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Si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S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P</w:t>
            </w:r>
          </w:p>
        </w:tc>
        <w:tc>
          <w:tcPr>
            <w:tcW w:w="9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Cr</w:t>
            </w:r>
          </w:p>
        </w:tc>
      </w:tr>
      <w:tr w:rsidR="006741B2" w:rsidRPr="00D12A37" w:rsidTr="006741B2">
        <w:trPr>
          <w:trHeight w:val="536"/>
          <w:tblCellSpacing w:w="0" w:type="dxa"/>
          <w:jc w:val="center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≤</w:t>
            </w:r>
          </w:p>
        </w:tc>
        <w:tc>
          <w:tcPr>
            <w:tcW w:w="9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6741B2" w:rsidRPr="00D12A37" w:rsidTr="006741B2">
        <w:trPr>
          <w:trHeight w:val="430"/>
          <w:tblCellSpacing w:w="0" w:type="dxa"/>
          <w:jc w:val="center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ZGMnl3-l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1.10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1.50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11.00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14.00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0.30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0.80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 </w:t>
            </w:r>
          </w:p>
        </w:tc>
      </w:tr>
      <w:tr w:rsidR="006741B2" w:rsidRPr="00D12A37" w:rsidTr="006741B2">
        <w:trPr>
          <w:trHeight w:val="435"/>
          <w:tblCellSpacing w:w="0" w:type="dxa"/>
          <w:jc w:val="center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ZGMnl3-2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1.00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1.40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11.00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14.00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0.30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 </w:t>
            </w:r>
          </w:p>
        </w:tc>
      </w:tr>
      <w:tr w:rsidR="006741B2" w:rsidRPr="00D12A37" w:rsidTr="006741B2">
        <w:trPr>
          <w:trHeight w:val="427"/>
          <w:tblCellSpacing w:w="0" w:type="dxa"/>
          <w:jc w:val="center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ZGMnl3-3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90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1.30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11.00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14.00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0.30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0.80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 </w:t>
            </w:r>
          </w:p>
        </w:tc>
      </w:tr>
      <w:tr w:rsidR="006741B2" w:rsidRPr="00D12A37" w:rsidTr="006741B2">
        <w:trPr>
          <w:trHeight w:val="448"/>
          <w:tblCellSpacing w:w="0" w:type="dxa"/>
          <w:jc w:val="center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ZGMnl3-4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90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1.20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11.00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14.00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0.30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0.60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04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07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 </w:t>
            </w:r>
          </w:p>
        </w:tc>
      </w:tr>
      <w:tr w:rsidR="006741B2" w:rsidRPr="00D12A37" w:rsidTr="006741B2">
        <w:trPr>
          <w:trHeight w:val="440"/>
          <w:tblCellSpacing w:w="0" w:type="dxa"/>
          <w:jc w:val="center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ZGMnl3-5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90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1.30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11.00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14.00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30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 w:hint="eastAsia"/>
                <w:color w:val="000000"/>
                <w:kern w:val="0"/>
                <w:sz w:val="24"/>
              </w:rPr>
              <w:t>0.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07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1B2" w:rsidRPr="00D12A37" w:rsidRDefault="006741B2" w:rsidP="002F1817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1.50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～</w:t>
            </w:r>
            <w:r w:rsidRPr="00D12A37">
              <w:rPr>
                <w:rFonts w:ascii="ˎ̥" w:hAnsi="ˎ̥" w:cs="宋体"/>
                <w:color w:val="000000"/>
                <w:kern w:val="0"/>
                <w:sz w:val="24"/>
              </w:rPr>
              <w:t>2.50</w:t>
            </w:r>
          </w:p>
        </w:tc>
      </w:tr>
    </w:tbl>
    <w:p w:rsidR="00FD4CFF" w:rsidRDefault="00FD4CFF" w:rsidP="0054569E">
      <w:pPr>
        <w:ind w:firstLine="420"/>
      </w:pPr>
    </w:p>
    <w:p w:rsidR="00177D3E" w:rsidRDefault="0054569E" w:rsidP="0054569E">
      <w:pPr>
        <w:ind w:firstLine="420"/>
      </w:pPr>
      <w:r w:rsidRPr="0054569E">
        <w:rPr>
          <w:rFonts w:hint="eastAsia"/>
        </w:rPr>
        <w:t>这里只罗列了</w:t>
      </w:r>
      <w:r w:rsidR="00931147">
        <w:rPr>
          <w:rFonts w:hint="eastAsia"/>
        </w:rPr>
        <w:t>高锰钢铸件</w:t>
      </w:r>
      <w:r w:rsidRPr="0054569E">
        <w:rPr>
          <w:rFonts w:hint="eastAsia"/>
        </w:rPr>
        <w:t>部分型号，由于产品性能在不断改进中，产品参数如有更改，恕不另行通知，如果您需要做进一步了解，请在线咨询客服或请来我厂参观考察！</w:t>
      </w:r>
    </w:p>
    <w:p w:rsidR="0054569E" w:rsidRDefault="0054569E"/>
    <w:p w:rsidR="00177D3E" w:rsidRDefault="00177D3E">
      <w:r w:rsidRPr="00F5235D">
        <w:rPr>
          <w:rFonts w:hint="eastAsia"/>
          <w:b/>
        </w:rPr>
        <w:t>企业实力</w:t>
      </w:r>
      <w:r>
        <w:rPr>
          <w:rFonts w:hint="eastAsia"/>
        </w:rPr>
        <w:t>：</w:t>
      </w:r>
    </w:p>
    <w:p w:rsidR="00A84E56" w:rsidRDefault="003744B2" w:rsidP="003744B2">
      <w:pPr>
        <w:ind w:firstLine="420"/>
      </w:pPr>
      <w:r w:rsidRPr="003744B2">
        <w:rPr>
          <w:rFonts w:hint="eastAsia"/>
        </w:rPr>
        <w:t>公司拥有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条砂型生产线，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</w:t>
      </w:r>
      <w:r w:rsidRPr="003744B2">
        <w:rPr>
          <w:rFonts w:hint="eastAsia"/>
        </w:rPr>
        <w:t>V</w:t>
      </w:r>
      <w:r w:rsidRPr="003744B2">
        <w:rPr>
          <w:rFonts w:hint="eastAsia"/>
        </w:rPr>
        <w:t>法铸造生产线、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条精密铸造生产线、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条消失模生产线</w:t>
      </w:r>
      <w:r w:rsidR="007E67CC">
        <w:rPr>
          <w:rFonts w:hint="eastAsia"/>
        </w:rPr>
        <w:t>、</w:t>
      </w:r>
      <w:r w:rsidR="007E67CC">
        <w:rPr>
          <w:rFonts w:hint="eastAsia"/>
        </w:rPr>
        <w:t>1</w:t>
      </w:r>
      <w:r w:rsidR="007E67CC">
        <w:rPr>
          <w:rFonts w:hint="eastAsia"/>
        </w:rPr>
        <w:t>个机加工车间</w:t>
      </w:r>
      <w:r w:rsidRPr="003744B2">
        <w:rPr>
          <w:rFonts w:hint="eastAsia"/>
        </w:rPr>
        <w:t>；</w:t>
      </w:r>
      <w:r w:rsidRPr="003744B2">
        <w:rPr>
          <w:rFonts w:hint="eastAsia"/>
        </w:rPr>
        <w:t>2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5T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3T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1T</w:t>
      </w:r>
      <w:r w:rsidRPr="003744B2">
        <w:rPr>
          <w:rFonts w:hint="eastAsia"/>
        </w:rPr>
        <w:t>中频电炉</w:t>
      </w:r>
      <w:r w:rsidR="00AB6A5A">
        <w:rPr>
          <w:rFonts w:hint="eastAsia"/>
        </w:rPr>
        <w:t>，</w:t>
      </w:r>
      <w:r w:rsidRPr="003744B2">
        <w:rPr>
          <w:rFonts w:hint="eastAsia"/>
        </w:rPr>
        <w:t>最大能做</w:t>
      </w:r>
      <w:r w:rsidRPr="003744B2">
        <w:rPr>
          <w:rFonts w:hint="eastAsia"/>
        </w:rPr>
        <w:t>10</w:t>
      </w:r>
      <w:r w:rsidRPr="003744B2">
        <w:rPr>
          <w:rFonts w:hint="eastAsia"/>
        </w:rPr>
        <w:t>吨的铸件，年生产能力</w:t>
      </w:r>
      <w:r w:rsidRPr="003744B2">
        <w:rPr>
          <w:rFonts w:hint="eastAsia"/>
        </w:rPr>
        <w:t>15000</w:t>
      </w:r>
      <w:r w:rsidR="00F82DC7">
        <w:rPr>
          <w:rFonts w:hint="eastAsia"/>
        </w:rPr>
        <w:t>吨以上，打造</w:t>
      </w:r>
      <w:r w:rsidRPr="003744B2">
        <w:rPr>
          <w:rFonts w:hint="eastAsia"/>
        </w:rPr>
        <w:t>中南地区最大的耐磨材料生产基地。</w:t>
      </w:r>
    </w:p>
    <w:p w:rsidR="008D7C70" w:rsidRDefault="00BF180A" w:rsidP="00BF180A">
      <w:r w:rsidRPr="00BF180A">
        <w:rPr>
          <w:noProof/>
        </w:rPr>
        <w:lastRenderedPageBreak/>
        <w:drawing>
          <wp:inline distT="0" distB="0" distL="0" distR="0">
            <wp:extent cx="9744075" cy="2295525"/>
            <wp:effectExtent l="19050" t="0" r="952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b/>
        </w:rPr>
        <w:t>国际合作</w:t>
      </w:r>
      <w:r>
        <w:rPr>
          <w:rFonts w:hint="eastAsia"/>
        </w:rPr>
        <w:t>：</w:t>
      </w:r>
    </w:p>
    <w:p w:rsidR="00891A87" w:rsidRDefault="00F220CC" w:rsidP="00F220CC">
      <w:pPr>
        <w:ind w:firstLine="420"/>
      </w:pPr>
      <w:r w:rsidRPr="00F220CC">
        <w:rPr>
          <w:rFonts w:hint="eastAsia"/>
        </w:rPr>
        <w:t>与国际对话，建跨国集团</w:t>
      </w:r>
      <w:r w:rsidR="00BC6F60">
        <w:rPr>
          <w:rFonts w:hint="eastAsia"/>
        </w:rPr>
        <w:t>，</w:t>
      </w:r>
      <w:r w:rsidRPr="00F220CC">
        <w:rPr>
          <w:rFonts w:hint="eastAsia"/>
        </w:rPr>
        <w:t>公司具有独立的进出口贸易经营资质</w:t>
      </w:r>
      <w:r w:rsidR="00BC6F60">
        <w:rPr>
          <w:rFonts w:hint="eastAsia"/>
        </w:rPr>
        <w:t>，</w:t>
      </w:r>
      <w:r w:rsidRPr="00F220CC">
        <w:rPr>
          <w:rFonts w:hint="eastAsia"/>
        </w:rPr>
        <w:t>长期与海外各国的交流和合作，不但使公司产品</w:t>
      </w:r>
      <w:r w:rsidR="00F82DC7">
        <w:rPr>
          <w:rFonts w:hint="eastAsia"/>
        </w:rPr>
        <w:t>保持较高的</w:t>
      </w:r>
      <w:r w:rsidRPr="00F220CC">
        <w:rPr>
          <w:rFonts w:hint="eastAsia"/>
        </w:rPr>
        <w:t>水平，而且赢得了广泛的国际市场，产品远销俄罗斯，哈萨克斯坦，土耳其，沙特，南非，越南，</w:t>
      </w:r>
      <w:r w:rsidR="00BC6F60">
        <w:rPr>
          <w:rFonts w:hint="eastAsia"/>
        </w:rPr>
        <w:t>印度，美国，</w:t>
      </w:r>
      <w:r w:rsidRPr="00F220CC">
        <w:rPr>
          <w:rFonts w:hint="eastAsia"/>
        </w:rPr>
        <w:t>澳大利亚等</w:t>
      </w:r>
      <w:r w:rsidR="00F82DC7">
        <w:rPr>
          <w:rFonts w:hint="eastAsia"/>
        </w:rPr>
        <w:t>3</w:t>
      </w:r>
      <w:r w:rsidRPr="00F220CC">
        <w:rPr>
          <w:rFonts w:hint="eastAsia"/>
        </w:rPr>
        <w:t>0</w:t>
      </w:r>
      <w:r w:rsidRPr="00F220CC">
        <w:rPr>
          <w:rFonts w:hint="eastAsia"/>
        </w:rPr>
        <w:t>个国家和地区。</w:t>
      </w:r>
    </w:p>
    <w:p w:rsidR="008D7C70" w:rsidRDefault="00BF180A" w:rsidP="00BF180A">
      <w:r w:rsidRPr="00BF180A">
        <w:rPr>
          <w:noProof/>
        </w:rPr>
        <w:drawing>
          <wp:inline distT="0" distB="0" distL="0" distR="0">
            <wp:extent cx="9777730" cy="1984953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8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color w:val="FF0000"/>
        </w:rPr>
        <w:t>特别提醒</w:t>
      </w:r>
      <w:r>
        <w:rPr>
          <w:rFonts w:hint="eastAsia"/>
        </w:rPr>
        <w:t>：</w:t>
      </w:r>
    </w:p>
    <w:p w:rsidR="004F7D08" w:rsidRDefault="004F7D08" w:rsidP="004F7D08">
      <w:pPr>
        <w:ind w:firstLine="420"/>
      </w:pPr>
      <w:r w:rsidRPr="004F7D08">
        <w:rPr>
          <w:rFonts w:hint="eastAsia"/>
        </w:rPr>
        <w:t>湖北金阳石新型耐磨材料科技有限公司</w:t>
      </w:r>
      <w:r>
        <w:rPr>
          <w:rFonts w:hint="eastAsia"/>
        </w:rPr>
        <w:t>是专业耐磨铸件铸造厂</w:t>
      </w:r>
      <w:r w:rsidR="00EE2B7C">
        <w:rPr>
          <w:rFonts w:hint="eastAsia"/>
        </w:rPr>
        <w:t>家</w:t>
      </w:r>
      <w:r>
        <w:rPr>
          <w:rFonts w:hint="eastAsia"/>
        </w:rPr>
        <w:t>，主营高锰钢、高低铬、耐磨合金钢铸件，常年提供其他厂家的备品备件加工业务，不管是哪个厂家的什么型号的耐磨铸件，只要你能提供图纸、样品或模具，我们都能生产！</w:t>
      </w:r>
      <w:r w:rsidR="00EE2B7C">
        <w:rPr>
          <w:rFonts w:hint="eastAsia"/>
        </w:rPr>
        <w:t>联系电话：</w:t>
      </w:r>
      <w:r w:rsidR="00E974E9">
        <w:rPr>
          <w:rFonts w:hint="eastAsia"/>
        </w:rPr>
        <w:t>联系电话：</w:t>
      </w:r>
      <w:r w:rsidR="00E974E9" w:rsidRPr="00EE2B7C">
        <w:rPr>
          <w:rFonts w:hint="eastAsia"/>
        </w:rPr>
        <w:t>电话：</w:t>
      </w:r>
      <w:r w:rsidR="00E974E9" w:rsidRPr="00EE2B7C">
        <w:rPr>
          <w:rFonts w:hint="eastAsia"/>
        </w:rPr>
        <w:t>+86-0717-</w:t>
      </w:r>
      <w:r w:rsidR="00E974E9" w:rsidRPr="009611D5">
        <w:t>3286139</w:t>
      </w:r>
      <w:r w:rsidR="00E974E9">
        <w:t>，</w:t>
      </w:r>
      <w:r w:rsidR="00E974E9" w:rsidRPr="00A62B82">
        <w:t>13477859260</w:t>
      </w:r>
      <w:r w:rsidR="00EE2B7C">
        <w:rPr>
          <w:rFonts w:hint="eastAsia"/>
        </w:rPr>
        <w:t xml:space="preserve">  </w:t>
      </w:r>
      <w:r w:rsidR="00EE2B7C" w:rsidRPr="00EE2B7C">
        <w:rPr>
          <w:rFonts w:hint="eastAsia"/>
        </w:rPr>
        <w:t>邮箱</w:t>
      </w:r>
      <w:r w:rsidR="00EE2B7C" w:rsidRPr="00EE2B7C">
        <w:rPr>
          <w:rFonts w:hint="eastAsia"/>
        </w:rPr>
        <w:t>:vip@jinyangshi.com</w:t>
      </w:r>
      <w:r w:rsidR="00891A87">
        <w:rPr>
          <w:rFonts w:hint="eastAsia"/>
        </w:rPr>
        <w:t xml:space="preserve"> </w:t>
      </w:r>
    </w:p>
    <w:sectPr w:rsidR="004F7D08" w:rsidSect="00D52C25">
      <w:type w:val="continuous"/>
      <w:pgSz w:w="16838" w:h="11906" w:orient="landscape"/>
      <w:pgMar w:top="720" w:right="720" w:bottom="720" w:left="72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53" w:rsidRDefault="00840953" w:rsidP="00893420">
      <w:r>
        <w:separator/>
      </w:r>
    </w:p>
  </w:endnote>
  <w:endnote w:type="continuationSeparator" w:id="1">
    <w:p w:rsidR="00840953" w:rsidRDefault="00840953" w:rsidP="0089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53" w:rsidRDefault="00840953" w:rsidP="00893420">
      <w:r>
        <w:separator/>
      </w:r>
    </w:p>
  </w:footnote>
  <w:footnote w:type="continuationSeparator" w:id="1">
    <w:p w:rsidR="00840953" w:rsidRDefault="00840953" w:rsidP="0089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湖北金阳石新型耐磨材料科技有限公司</w:t>
    </w:r>
  </w:p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电话：</w:t>
    </w:r>
    <w:r>
      <w:rPr>
        <w:rFonts w:hint="eastAsia"/>
      </w:rPr>
      <w:t>+86-0717-</w:t>
    </w:r>
    <w:r w:rsidR="002E1B75" w:rsidRPr="002E1B75">
      <w:t>3286139</w:t>
    </w:r>
    <w:r>
      <w:rPr>
        <w:rFonts w:hint="eastAsia"/>
      </w:rPr>
      <w:t xml:space="preserve">  13707200483  </w:t>
    </w:r>
    <w:r>
      <w:rPr>
        <w:rFonts w:hint="eastAsia"/>
      </w:rPr>
      <w:t>邮箱：</w:t>
    </w:r>
    <w:hyperlink r:id="rId1" w:history="1">
      <w:r w:rsidR="00AC5D2A" w:rsidRPr="00A11FA2">
        <w:rPr>
          <w:rStyle w:val="a6"/>
          <w:rFonts w:hint="eastAsia"/>
        </w:rPr>
        <w:t>vip@jinyangshi.com</w:t>
      </w:r>
    </w:hyperlink>
    <w:r w:rsidR="00AC5D2A">
      <w:rPr>
        <w:rFonts w:hint="eastAsia"/>
      </w:rPr>
      <w:t xml:space="preserve"> </w:t>
    </w:r>
    <w:r w:rsidR="00AC5D2A">
      <w:rPr>
        <w:rFonts w:hint="eastAsia"/>
      </w:rPr>
      <w:t>网站：</w:t>
    </w:r>
    <w:hyperlink r:id="rId2" w:history="1">
      <w:r w:rsidR="00AC5D2A" w:rsidRPr="00A11FA2">
        <w:rPr>
          <w:rStyle w:val="a6"/>
          <w:rFonts w:hint="eastAsia"/>
        </w:rPr>
        <w:t>www.jinyangshi.com</w:t>
      </w:r>
    </w:hyperlink>
    <w:r w:rsidR="00AC5D2A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420"/>
    <w:rsid w:val="00007083"/>
    <w:rsid w:val="000213CA"/>
    <w:rsid w:val="00040DFB"/>
    <w:rsid w:val="000B1090"/>
    <w:rsid w:val="000E29F0"/>
    <w:rsid w:val="001211A0"/>
    <w:rsid w:val="00122874"/>
    <w:rsid w:val="00151F22"/>
    <w:rsid w:val="001636B3"/>
    <w:rsid w:val="00177D3E"/>
    <w:rsid w:val="00182890"/>
    <w:rsid w:val="001874DE"/>
    <w:rsid w:val="001D6D11"/>
    <w:rsid w:val="002016FA"/>
    <w:rsid w:val="00214DC3"/>
    <w:rsid w:val="00236D41"/>
    <w:rsid w:val="0025344E"/>
    <w:rsid w:val="00291638"/>
    <w:rsid w:val="002917E5"/>
    <w:rsid w:val="00292076"/>
    <w:rsid w:val="00296603"/>
    <w:rsid w:val="002B0E9D"/>
    <w:rsid w:val="002C1E79"/>
    <w:rsid w:val="002C7845"/>
    <w:rsid w:val="002E1B75"/>
    <w:rsid w:val="003029CE"/>
    <w:rsid w:val="00317112"/>
    <w:rsid w:val="0032607D"/>
    <w:rsid w:val="0034108E"/>
    <w:rsid w:val="003744B2"/>
    <w:rsid w:val="003A1DD3"/>
    <w:rsid w:val="003A6EDC"/>
    <w:rsid w:val="003C3AD0"/>
    <w:rsid w:val="003D65F1"/>
    <w:rsid w:val="00415228"/>
    <w:rsid w:val="00415477"/>
    <w:rsid w:val="00426485"/>
    <w:rsid w:val="00435982"/>
    <w:rsid w:val="0045741D"/>
    <w:rsid w:val="004D2828"/>
    <w:rsid w:val="004E45E9"/>
    <w:rsid w:val="004F7D08"/>
    <w:rsid w:val="00516733"/>
    <w:rsid w:val="0054569E"/>
    <w:rsid w:val="005639F9"/>
    <w:rsid w:val="00571031"/>
    <w:rsid w:val="00575419"/>
    <w:rsid w:val="00580F6D"/>
    <w:rsid w:val="00593827"/>
    <w:rsid w:val="00593ACF"/>
    <w:rsid w:val="005B0823"/>
    <w:rsid w:val="005C0A61"/>
    <w:rsid w:val="005C68DE"/>
    <w:rsid w:val="005D3C6A"/>
    <w:rsid w:val="005D6C6C"/>
    <w:rsid w:val="005E1BD9"/>
    <w:rsid w:val="00635EDD"/>
    <w:rsid w:val="00654AD7"/>
    <w:rsid w:val="00667B92"/>
    <w:rsid w:val="0067239D"/>
    <w:rsid w:val="006741B2"/>
    <w:rsid w:val="00681031"/>
    <w:rsid w:val="006D70B7"/>
    <w:rsid w:val="00703803"/>
    <w:rsid w:val="007168AE"/>
    <w:rsid w:val="0072093E"/>
    <w:rsid w:val="00733798"/>
    <w:rsid w:val="00760468"/>
    <w:rsid w:val="007627D4"/>
    <w:rsid w:val="007644D3"/>
    <w:rsid w:val="007649E8"/>
    <w:rsid w:val="007724EC"/>
    <w:rsid w:val="007A286B"/>
    <w:rsid w:val="007A6E12"/>
    <w:rsid w:val="007C454E"/>
    <w:rsid w:val="007C50AE"/>
    <w:rsid w:val="007E67CC"/>
    <w:rsid w:val="007F01D9"/>
    <w:rsid w:val="007F25C1"/>
    <w:rsid w:val="008325C2"/>
    <w:rsid w:val="00840232"/>
    <w:rsid w:val="00840953"/>
    <w:rsid w:val="00891A87"/>
    <w:rsid w:val="00893420"/>
    <w:rsid w:val="00893DF1"/>
    <w:rsid w:val="008A12A4"/>
    <w:rsid w:val="008D038E"/>
    <w:rsid w:val="008D7C70"/>
    <w:rsid w:val="008F2A15"/>
    <w:rsid w:val="00931147"/>
    <w:rsid w:val="0093487E"/>
    <w:rsid w:val="009526B2"/>
    <w:rsid w:val="00961A2F"/>
    <w:rsid w:val="00963291"/>
    <w:rsid w:val="009951D2"/>
    <w:rsid w:val="009A1CBC"/>
    <w:rsid w:val="009D3405"/>
    <w:rsid w:val="009D56FE"/>
    <w:rsid w:val="00A14B2F"/>
    <w:rsid w:val="00A2202F"/>
    <w:rsid w:val="00A37384"/>
    <w:rsid w:val="00A4754A"/>
    <w:rsid w:val="00A622B3"/>
    <w:rsid w:val="00A84E56"/>
    <w:rsid w:val="00A968EA"/>
    <w:rsid w:val="00AB6A5A"/>
    <w:rsid w:val="00AC5D2A"/>
    <w:rsid w:val="00AC72B2"/>
    <w:rsid w:val="00B02D37"/>
    <w:rsid w:val="00B150EE"/>
    <w:rsid w:val="00B20C79"/>
    <w:rsid w:val="00B45132"/>
    <w:rsid w:val="00B52CC0"/>
    <w:rsid w:val="00B66BBD"/>
    <w:rsid w:val="00B80F3A"/>
    <w:rsid w:val="00BB1627"/>
    <w:rsid w:val="00BC21CE"/>
    <w:rsid w:val="00BC6F60"/>
    <w:rsid w:val="00BE017A"/>
    <w:rsid w:val="00BF180A"/>
    <w:rsid w:val="00C04897"/>
    <w:rsid w:val="00C37610"/>
    <w:rsid w:val="00C40856"/>
    <w:rsid w:val="00C64FB5"/>
    <w:rsid w:val="00C766DA"/>
    <w:rsid w:val="00C9323D"/>
    <w:rsid w:val="00CD0163"/>
    <w:rsid w:val="00CD70E1"/>
    <w:rsid w:val="00CE37AA"/>
    <w:rsid w:val="00CE54C3"/>
    <w:rsid w:val="00CE6C74"/>
    <w:rsid w:val="00D10D73"/>
    <w:rsid w:val="00D302EE"/>
    <w:rsid w:val="00D52C25"/>
    <w:rsid w:val="00D56E52"/>
    <w:rsid w:val="00D64129"/>
    <w:rsid w:val="00D6765F"/>
    <w:rsid w:val="00D74EFE"/>
    <w:rsid w:val="00D81276"/>
    <w:rsid w:val="00D81E2B"/>
    <w:rsid w:val="00D92370"/>
    <w:rsid w:val="00DA51A9"/>
    <w:rsid w:val="00DA6286"/>
    <w:rsid w:val="00DB0206"/>
    <w:rsid w:val="00DB296E"/>
    <w:rsid w:val="00DC7624"/>
    <w:rsid w:val="00DD17C5"/>
    <w:rsid w:val="00E001B0"/>
    <w:rsid w:val="00E0050D"/>
    <w:rsid w:val="00E05288"/>
    <w:rsid w:val="00E14652"/>
    <w:rsid w:val="00E202A3"/>
    <w:rsid w:val="00E22D57"/>
    <w:rsid w:val="00E62595"/>
    <w:rsid w:val="00E80149"/>
    <w:rsid w:val="00E974E9"/>
    <w:rsid w:val="00EA1AB7"/>
    <w:rsid w:val="00EB0342"/>
    <w:rsid w:val="00EC4E3E"/>
    <w:rsid w:val="00ED4245"/>
    <w:rsid w:val="00ED4B35"/>
    <w:rsid w:val="00ED74A5"/>
    <w:rsid w:val="00EE2B7C"/>
    <w:rsid w:val="00EE65DC"/>
    <w:rsid w:val="00EF1051"/>
    <w:rsid w:val="00F02EB0"/>
    <w:rsid w:val="00F04B4F"/>
    <w:rsid w:val="00F129B5"/>
    <w:rsid w:val="00F1769E"/>
    <w:rsid w:val="00F220CC"/>
    <w:rsid w:val="00F4794C"/>
    <w:rsid w:val="00F5235D"/>
    <w:rsid w:val="00F70D91"/>
    <w:rsid w:val="00F732E9"/>
    <w:rsid w:val="00F757E4"/>
    <w:rsid w:val="00F82DC7"/>
    <w:rsid w:val="00FC6807"/>
    <w:rsid w:val="00FD357B"/>
    <w:rsid w:val="00FD4CFF"/>
    <w:rsid w:val="00FD5B60"/>
    <w:rsid w:val="00FF031B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42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048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04897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AC5D2A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6D70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D7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nyangshi.com" TargetMode="External"/><Relationship Id="rId1" Type="http://schemas.openxmlformats.org/officeDocument/2006/relationships/hyperlink" Target="mailto:vip@jinyangsh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319</Words>
  <Characters>1824</Characters>
  <Application>Microsoft Office Word</Application>
  <DocSecurity>0</DocSecurity>
  <Lines>15</Lines>
  <Paragraphs>4</Paragraphs>
  <ScaleCrop>false</ScaleCrop>
  <Company>jys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zhaiyl</dc:creator>
  <cp:keywords/>
  <dc:description/>
  <cp:lastModifiedBy>zhaiyl</cp:lastModifiedBy>
  <cp:revision>193</cp:revision>
  <dcterms:created xsi:type="dcterms:W3CDTF">2015-11-02T05:21:00Z</dcterms:created>
  <dcterms:modified xsi:type="dcterms:W3CDTF">2015-12-21T02:41:00Z</dcterms:modified>
</cp:coreProperties>
</file>